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CFB" w:rsidRDefault="004E5EBF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ПОЯСНИТЕЛЬНАЯ ЗАПИСКА</w:t>
      </w:r>
    </w:p>
    <w:p w:rsidR="00492CFB" w:rsidRDefault="004E5EBF" w:rsidP="0007264F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 проекту закона Алтайского края «</w:t>
      </w:r>
      <w:r w:rsidR="001034AF" w:rsidRPr="001034AF">
        <w:rPr>
          <w:rFonts w:ascii="PT Astra Serif" w:hAnsi="PT Astra Serif"/>
          <w:b/>
          <w:sz w:val="28"/>
        </w:rPr>
        <w:t xml:space="preserve">О внесении изменений </w:t>
      </w:r>
      <w:r w:rsidR="001034AF">
        <w:rPr>
          <w:rFonts w:ascii="PT Astra Serif" w:hAnsi="PT Astra Serif"/>
          <w:b/>
          <w:sz w:val="28"/>
        </w:rPr>
        <w:br/>
      </w:r>
      <w:r w:rsidR="001034AF" w:rsidRPr="001034AF">
        <w:rPr>
          <w:rFonts w:ascii="PT Astra Serif" w:hAnsi="PT Astra Serif"/>
          <w:b/>
          <w:sz w:val="28"/>
        </w:rPr>
        <w:t>в К</w:t>
      </w:r>
      <w:r w:rsidR="001034AF">
        <w:rPr>
          <w:rFonts w:ascii="PT Astra Serif" w:hAnsi="PT Astra Serif"/>
          <w:b/>
          <w:sz w:val="28"/>
        </w:rPr>
        <w:t xml:space="preserve">одекс Алтайского края о выборах </w:t>
      </w:r>
      <w:r w:rsidR="001034AF" w:rsidRPr="001034AF">
        <w:rPr>
          <w:rFonts w:ascii="PT Astra Serif" w:hAnsi="PT Astra Serif"/>
          <w:b/>
          <w:sz w:val="28"/>
        </w:rPr>
        <w:t>и референдумах</w:t>
      </w:r>
      <w:r>
        <w:rPr>
          <w:rFonts w:ascii="PT Astra Serif" w:hAnsi="PT Astra Serif"/>
          <w:b/>
          <w:sz w:val="28"/>
        </w:rPr>
        <w:t>»</w:t>
      </w:r>
    </w:p>
    <w:p w:rsidR="00492CFB" w:rsidRDefault="00492CFB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492CFB" w:rsidRDefault="00492CFB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</w:p>
    <w:p w:rsidR="006A66D1" w:rsidRPr="00415496" w:rsidRDefault="006A66D1" w:rsidP="006A66D1">
      <w:pPr>
        <w:spacing w:after="0" w:line="240" w:lineRule="auto"/>
        <w:ind w:firstLine="709"/>
        <w:jc w:val="both"/>
        <w:rPr>
          <w:rFonts w:ascii="PT Astra Serif" w:hAnsi="PT Astra Serif" w:cs="Arial"/>
          <w:color w:val="1F1F1F"/>
          <w:sz w:val="30"/>
          <w:szCs w:val="30"/>
          <w:shd w:val="clear" w:color="auto" w:fill="FFFFFF"/>
        </w:rPr>
      </w:pPr>
      <w:r w:rsidRPr="00415496">
        <w:rPr>
          <w:rFonts w:ascii="PT Astra Serif" w:hAnsi="PT Astra Serif"/>
          <w:sz w:val="28"/>
        </w:rPr>
        <w:t xml:space="preserve">Проект закона Алтайского края «О внесении изменений в Кодекс Алтайского края о выборах и референдумах» разработан в связи с принятием Федерального закона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от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2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мая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2026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года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№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130-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ФЗ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«О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внесении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изменений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в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отдельные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законодательные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акты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Российской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 </w:t>
      </w:r>
      <w:r w:rsidRPr="00C4744F">
        <w:rPr>
          <w:rFonts w:ascii="PT Astra Serif" w:hAnsi="PT Astra Serif" w:cs="Arial" w:hint="eastAsia"/>
          <w:color w:val="1F1F1F"/>
          <w:sz w:val="28"/>
          <w:szCs w:val="30"/>
          <w:shd w:val="clear" w:color="auto" w:fill="FFFFFF"/>
        </w:rPr>
        <w:t>Федерации»</w:t>
      </w:r>
      <w:r w:rsidRPr="00C4744F">
        <w:rPr>
          <w:rFonts w:ascii="PT Astra Serif" w:hAnsi="PT Astra Serif" w:cs="Arial"/>
          <w:color w:val="1F1F1F"/>
          <w:sz w:val="28"/>
          <w:szCs w:val="30"/>
          <w:shd w:val="clear" w:color="auto" w:fill="FFFFFF"/>
        </w:rPr>
        <w:t xml:space="preserve">, </w:t>
      </w:r>
      <w:r w:rsidRPr="00415496">
        <w:rPr>
          <w:rFonts w:ascii="PT Astra Serif" w:hAnsi="PT Astra Serif"/>
          <w:sz w:val="28"/>
        </w:rPr>
        <w:t>а также с учетом предложений Центральной избирательной комиссии Российской Федерации</w:t>
      </w:r>
      <w:r w:rsidR="00146A33">
        <w:rPr>
          <w:rFonts w:ascii="PT Astra Serif" w:hAnsi="PT Astra Serif"/>
          <w:sz w:val="28"/>
        </w:rPr>
        <w:t xml:space="preserve"> </w:t>
      </w:r>
      <w:r w:rsidR="00146A33" w:rsidRPr="00146A33">
        <w:rPr>
          <w:rFonts w:ascii="Times New Roman" w:hAnsi="Times New Roman"/>
          <w:color w:val="auto"/>
          <w:sz w:val="28"/>
          <w:szCs w:val="28"/>
        </w:rPr>
        <w:t>в целях совершенствования правоприменительной практики</w:t>
      </w:r>
      <w:r w:rsidRPr="00415496">
        <w:rPr>
          <w:rFonts w:ascii="PT Astra Serif" w:hAnsi="PT Astra Serif"/>
          <w:sz w:val="28"/>
        </w:rPr>
        <w:t>.</w:t>
      </w:r>
    </w:p>
    <w:p w:rsidR="00970828" w:rsidRPr="0028007B" w:rsidRDefault="00B850A2" w:rsidP="006A66D1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>
        <w:rPr>
          <w:rFonts w:ascii="PT Astra Serif" w:hAnsi="PT Astra Serif" w:cs="Arial"/>
          <w:color w:val="020C22"/>
          <w:sz w:val="28"/>
          <w:szCs w:val="28"/>
        </w:rPr>
        <w:t>П</w:t>
      </w:r>
      <w:r w:rsidR="005E0EDE">
        <w:rPr>
          <w:rFonts w:ascii="PT Astra Serif" w:hAnsi="PT Astra Serif" w:cs="Arial"/>
          <w:color w:val="020C22"/>
          <w:sz w:val="28"/>
          <w:szCs w:val="28"/>
        </w:rPr>
        <w:t xml:space="preserve">роектом </w:t>
      </w:r>
      <w:r w:rsidR="005E0EDE" w:rsidRPr="0028007B">
        <w:rPr>
          <w:rFonts w:ascii="PT Astra Serif" w:hAnsi="PT Astra Serif" w:cs="Arial"/>
          <w:color w:val="020C22"/>
          <w:sz w:val="28"/>
          <w:szCs w:val="28"/>
        </w:rPr>
        <w:t>закона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 xml:space="preserve"> уточняется порядок составления списков избирателей с использованием государственной системы регистрации (учета) избирателей, участников референдума</w:t>
      </w:r>
      <w:r w:rsidR="00BB41B0" w:rsidRPr="0028007B">
        <w:rPr>
          <w:rFonts w:ascii="PT Astra Serif" w:hAnsi="PT Astra Serif" w:cs="Arial"/>
          <w:color w:val="020C22"/>
          <w:sz w:val="28"/>
          <w:szCs w:val="28"/>
        </w:rPr>
        <w:t xml:space="preserve">. </w:t>
      </w:r>
    </w:p>
    <w:p w:rsidR="00A54694" w:rsidRPr="0028007B" w:rsidRDefault="00B850A2" w:rsidP="00A54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Arial"/>
          <w:color w:val="020C22"/>
          <w:sz w:val="28"/>
          <w:szCs w:val="28"/>
        </w:rPr>
        <w:t>Пре</w:t>
      </w:r>
      <w:r w:rsidR="00296513" w:rsidRPr="00296513">
        <w:rPr>
          <w:rFonts w:ascii="PT Astra Serif" w:hAnsi="PT Astra Serif" w:cs="Arial"/>
          <w:color w:val="020C22"/>
          <w:sz w:val="28"/>
          <w:szCs w:val="28"/>
        </w:rPr>
        <w:t>дусмотрено, что при выдвижении кандидата, списка кандидатов вместо нотариально удостоверенной копии документа о государственной регистрации избирательного объединения, выданного федеральным органом исполнительной власти, уполномоченным на осуществление функций в сфере регистрации общественных объединений, его территориальным органом, возможно представление документа, подтверждающего факт внесения записи об избирательном объединении в единый государственный реестр юридических лиц.</w:t>
      </w:r>
    </w:p>
    <w:p w:rsidR="006A66D1" w:rsidRPr="0028007B" w:rsidRDefault="008242D0" w:rsidP="006A66D1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>
        <w:rPr>
          <w:rFonts w:ascii="PT Astra Serif" w:hAnsi="PT Astra Serif" w:cs="Arial"/>
          <w:color w:val="020C22"/>
          <w:sz w:val="28"/>
          <w:szCs w:val="28"/>
        </w:rPr>
        <w:t>П</w:t>
      </w:r>
      <w:r w:rsidRPr="0028007B">
        <w:rPr>
          <w:rFonts w:ascii="PT Astra Serif" w:hAnsi="PT Astra Serif" w:cs="Arial"/>
          <w:color w:val="020C22"/>
          <w:sz w:val="28"/>
          <w:szCs w:val="28"/>
        </w:rPr>
        <w:t>олитическим партиям при проведении региональных и муниципальных выборов</w:t>
      </w:r>
      <w:r>
        <w:rPr>
          <w:rFonts w:ascii="PT Astra Serif" w:hAnsi="PT Astra Serif" w:cs="Arial"/>
          <w:color w:val="020C22"/>
          <w:sz w:val="28"/>
          <w:szCs w:val="28"/>
        </w:rPr>
        <w:t xml:space="preserve"> п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>редоставляется право публиковать предвыборные программы по своему выбору в информационно-телекоммуникационной сети Интернет или в государственных периодических печатных изданиях.</w:t>
      </w:r>
    </w:p>
    <w:p w:rsidR="006A66D1" w:rsidRPr="0028007B" w:rsidRDefault="008242D0" w:rsidP="006A66D1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>
        <w:rPr>
          <w:rFonts w:ascii="PT Astra Serif" w:hAnsi="PT Astra Serif" w:cs="Arial"/>
          <w:color w:val="020C22"/>
          <w:sz w:val="28"/>
          <w:szCs w:val="28"/>
        </w:rPr>
        <w:t>У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>точняется порядок открытия, ведения и закрытия специального избирательного счета, специального счета фонда референдума</w:t>
      </w:r>
      <w:r w:rsidR="00887334" w:rsidRPr="0028007B">
        <w:rPr>
          <w:rFonts w:ascii="PT Astra Serif" w:hAnsi="PT Astra Serif" w:cs="Arial"/>
          <w:color w:val="020C22"/>
          <w:sz w:val="28"/>
          <w:szCs w:val="28"/>
        </w:rPr>
        <w:t>, в том числе без личного присутствия (дистанционно)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 xml:space="preserve">. </w:t>
      </w:r>
      <w:r>
        <w:rPr>
          <w:rFonts w:ascii="PT Astra Serif" w:hAnsi="PT Astra Serif" w:cs="Arial"/>
          <w:color w:val="020C22"/>
          <w:sz w:val="28"/>
          <w:szCs w:val="28"/>
        </w:rPr>
        <w:t>Проект закона п</w:t>
      </w:r>
      <w:r w:rsidR="00170061" w:rsidRPr="0028007B">
        <w:rPr>
          <w:rFonts w:ascii="PT Astra Serif" w:hAnsi="PT Astra Serif" w:cs="Arial"/>
          <w:color w:val="020C22"/>
          <w:sz w:val="28"/>
          <w:szCs w:val="28"/>
        </w:rPr>
        <w:t>редусматривает, что с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>ведения о поступлении и расходовании средств избирательных фондов, фондов референдума</w:t>
      </w:r>
      <w:r w:rsidR="008A30BE" w:rsidRPr="0028007B">
        <w:rPr>
          <w:rFonts w:ascii="PT Astra Serif" w:hAnsi="PT Astra Serif" w:cs="Arial"/>
          <w:color w:val="020C22"/>
          <w:sz w:val="28"/>
          <w:szCs w:val="28"/>
        </w:rPr>
        <w:t>, копии финансовых отчетов</w:t>
      </w:r>
      <w:r w:rsidR="006A66D1" w:rsidRPr="0028007B">
        <w:rPr>
          <w:rFonts w:ascii="PT Astra Serif" w:hAnsi="PT Astra Serif" w:cs="Arial"/>
          <w:color w:val="020C22"/>
          <w:sz w:val="28"/>
          <w:szCs w:val="28"/>
        </w:rPr>
        <w:t xml:space="preserve"> размещаются на официальных сайтах соответствующих избирательных комиссий</w:t>
      </w:r>
      <w:r w:rsidR="008A30BE" w:rsidRPr="0028007B">
        <w:rPr>
          <w:rFonts w:ascii="PT Astra Serif" w:hAnsi="PT Astra Serif" w:cs="Arial"/>
          <w:color w:val="020C22"/>
          <w:sz w:val="28"/>
          <w:szCs w:val="28"/>
        </w:rPr>
        <w:t>, а в случае отсутствия таких сайтов – на официальном сайте Избирательной комиссии Алтайского края.</w:t>
      </w:r>
    </w:p>
    <w:p w:rsidR="009F4D5A" w:rsidRPr="0028007B" w:rsidRDefault="009F4D5A" w:rsidP="006A66D1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 w:rsidRPr="0028007B">
        <w:rPr>
          <w:rFonts w:ascii="PT Astra Serif" w:hAnsi="PT Astra Serif" w:cs="Arial"/>
          <w:color w:val="020C22"/>
          <w:sz w:val="28"/>
          <w:szCs w:val="28"/>
        </w:rPr>
        <w:t xml:space="preserve">Большой блок изменений посвящен </w:t>
      </w:r>
      <w:r w:rsidR="00EB66AC" w:rsidRPr="0028007B">
        <w:rPr>
          <w:rFonts w:ascii="PT Astra Serif" w:hAnsi="PT Astra Serif" w:cs="Arial"/>
          <w:color w:val="020C22"/>
          <w:sz w:val="28"/>
          <w:szCs w:val="28"/>
        </w:rPr>
        <w:t xml:space="preserve">вопросам ведения предвыборной агитации и </w:t>
      </w:r>
      <w:r w:rsidR="00CA433F" w:rsidRPr="0028007B">
        <w:rPr>
          <w:rFonts w:ascii="PT Astra Serif" w:hAnsi="PT Astra Serif" w:cs="Arial"/>
          <w:color w:val="020C22"/>
          <w:sz w:val="28"/>
          <w:szCs w:val="28"/>
        </w:rPr>
        <w:t xml:space="preserve">порядку </w:t>
      </w:r>
      <w:r w:rsidR="00EB66AC" w:rsidRPr="0028007B">
        <w:rPr>
          <w:rFonts w:ascii="PT Astra Serif" w:hAnsi="PT Astra Serif" w:cs="Arial"/>
          <w:color w:val="020C22"/>
          <w:sz w:val="28"/>
          <w:szCs w:val="28"/>
        </w:rPr>
        <w:t xml:space="preserve">использования </w:t>
      </w:r>
      <w:r w:rsidR="00CA433F" w:rsidRPr="0028007B">
        <w:rPr>
          <w:rFonts w:ascii="PT Astra Serif" w:hAnsi="PT Astra Serif" w:cs="Arial"/>
          <w:color w:val="020C22"/>
          <w:sz w:val="28"/>
          <w:szCs w:val="28"/>
        </w:rPr>
        <w:t xml:space="preserve">в агитационных материалах </w:t>
      </w:r>
      <w:r w:rsidR="00EB66AC" w:rsidRPr="0028007B">
        <w:rPr>
          <w:rFonts w:ascii="PT Astra Serif" w:hAnsi="PT Astra Serif" w:cs="Arial"/>
          <w:color w:val="020C22"/>
          <w:sz w:val="28"/>
          <w:szCs w:val="28"/>
        </w:rPr>
        <w:t xml:space="preserve">изображений </w:t>
      </w:r>
      <w:r w:rsidR="00CA433F" w:rsidRPr="0028007B">
        <w:rPr>
          <w:rFonts w:ascii="PT Astra Serif" w:hAnsi="PT Astra Serif" w:cs="Arial"/>
          <w:color w:val="020C22"/>
          <w:sz w:val="28"/>
          <w:szCs w:val="28"/>
        </w:rPr>
        <w:t>физического лица и (или</w:t>
      </w:r>
      <w:r w:rsidR="009F20D4" w:rsidRPr="0028007B">
        <w:rPr>
          <w:rFonts w:ascii="PT Astra Serif" w:hAnsi="PT Astra Serif" w:cs="Arial"/>
          <w:color w:val="020C22"/>
          <w:sz w:val="28"/>
          <w:szCs w:val="28"/>
        </w:rPr>
        <w:t xml:space="preserve">) воспроизведения его голоса. В частности, </w:t>
      </w:r>
      <w:r w:rsidR="00A54694" w:rsidRPr="0028007B">
        <w:rPr>
          <w:rFonts w:ascii="PT Astra Serif" w:hAnsi="PT Astra Serif" w:cs="Arial"/>
          <w:color w:val="020C22"/>
          <w:sz w:val="28"/>
          <w:szCs w:val="28"/>
        </w:rPr>
        <w:t xml:space="preserve">предусматривается возможность использования в агитационном материале изображений не только кандидата, но и других совершеннолетних лиц при наличии письменного согласия такого лица и отсутствии у него установленных законом ограничений. Также </w:t>
      </w:r>
      <w:r w:rsidR="00BB03A9" w:rsidRPr="0028007B">
        <w:rPr>
          <w:rFonts w:ascii="PT Astra Serif" w:hAnsi="PT Astra Serif" w:cs="Arial"/>
          <w:color w:val="020C22"/>
          <w:sz w:val="28"/>
          <w:szCs w:val="28"/>
        </w:rPr>
        <w:t xml:space="preserve">вводится норма о </w:t>
      </w:r>
      <w:r w:rsidR="009F20D4" w:rsidRPr="0028007B">
        <w:rPr>
          <w:rFonts w:ascii="PT Astra Serif" w:hAnsi="PT Astra Serif" w:cs="Arial"/>
          <w:color w:val="020C22"/>
          <w:sz w:val="28"/>
          <w:szCs w:val="28"/>
        </w:rPr>
        <w:t>запре</w:t>
      </w:r>
      <w:r w:rsidR="00BB03A9" w:rsidRPr="0028007B">
        <w:rPr>
          <w:rFonts w:ascii="PT Astra Serif" w:hAnsi="PT Astra Serif" w:cs="Arial"/>
          <w:color w:val="020C22"/>
          <w:sz w:val="28"/>
          <w:szCs w:val="28"/>
        </w:rPr>
        <w:t>те</w:t>
      </w:r>
      <w:r w:rsidR="009F20D4" w:rsidRPr="0028007B">
        <w:rPr>
          <w:rFonts w:ascii="PT Astra Serif" w:hAnsi="PT Astra Serif" w:cs="Arial"/>
          <w:color w:val="020C22"/>
          <w:sz w:val="28"/>
          <w:szCs w:val="28"/>
        </w:rPr>
        <w:t xml:space="preserve"> использовать в агитационном материале изображени</w:t>
      </w:r>
      <w:r w:rsidR="00A54694" w:rsidRPr="0028007B">
        <w:rPr>
          <w:rFonts w:ascii="PT Astra Serif" w:hAnsi="PT Astra Serif" w:cs="Arial"/>
          <w:color w:val="020C22"/>
          <w:sz w:val="28"/>
          <w:szCs w:val="28"/>
        </w:rPr>
        <w:t>е</w:t>
      </w:r>
      <w:r w:rsidR="009F20D4" w:rsidRPr="0028007B">
        <w:rPr>
          <w:rFonts w:ascii="PT Astra Serif" w:hAnsi="PT Astra Serif" w:cs="Arial"/>
          <w:color w:val="020C22"/>
          <w:sz w:val="28"/>
          <w:szCs w:val="28"/>
        </w:rPr>
        <w:t xml:space="preserve"> (образ) и (или) воспроизведение голоса человека, в том числе вымышленного или умершего, включая изображение или аудиозапись, созданные с применением </w:t>
      </w:r>
      <w:r w:rsidR="009F20D4" w:rsidRPr="0028007B">
        <w:rPr>
          <w:rFonts w:ascii="PT Astra Serif" w:hAnsi="PT Astra Serif" w:cs="Arial"/>
          <w:color w:val="020C22"/>
          <w:sz w:val="28"/>
          <w:szCs w:val="28"/>
        </w:rPr>
        <w:lastRenderedPageBreak/>
        <w:t>информационных технологий, за исключением</w:t>
      </w:r>
      <w:r w:rsidR="00BB03A9" w:rsidRPr="0028007B">
        <w:rPr>
          <w:rFonts w:ascii="PT Astra Serif" w:hAnsi="PT Astra Serif" w:cs="Arial"/>
          <w:color w:val="020C22"/>
          <w:sz w:val="28"/>
          <w:szCs w:val="28"/>
        </w:rPr>
        <w:t xml:space="preserve"> предусмотренных законом случаев</w:t>
      </w:r>
      <w:r w:rsidR="0028007B" w:rsidRPr="0028007B">
        <w:rPr>
          <w:rFonts w:ascii="PT Astra Serif" w:hAnsi="PT Astra Serif" w:cs="Arial"/>
          <w:color w:val="020C22"/>
          <w:sz w:val="28"/>
          <w:szCs w:val="28"/>
        </w:rPr>
        <w:t>.</w:t>
      </w:r>
    </w:p>
    <w:p w:rsidR="00A54694" w:rsidRPr="0028007B" w:rsidRDefault="00A54694" w:rsidP="00466D1C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 w:rsidRPr="0028007B">
        <w:rPr>
          <w:rFonts w:ascii="PT Astra Serif" w:hAnsi="PT Astra Serif" w:cs="Arial"/>
          <w:color w:val="020C22"/>
          <w:sz w:val="28"/>
          <w:szCs w:val="28"/>
        </w:rPr>
        <w:t xml:space="preserve">В целях единообразия правоприменительной практики и удобства субъектов назначения наблюдателей (избирательных объединений, кандидатов и субъектов общественного контроля) </w:t>
      </w:r>
      <w:r w:rsidR="00466D1C" w:rsidRPr="0028007B">
        <w:rPr>
          <w:rFonts w:ascii="PT Astra Serif" w:hAnsi="PT Astra Serif" w:cs="Arial"/>
          <w:color w:val="020C22"/>
          <w:sz w:val="28"/>
          <w:szCs w:val="28"/>
        </w:rPr>
        <w:t>устанавливается</w:t>
      </w:r>
      <w:r w:rsidRPr="0028007B">
        <w:rPr>
          <w:rFonts w:ascii="PT Astra Serif" w:hAnsi="PT Astra Serif" w:cs="Arial"/>
          <w:color w:val="020C22"/>
          <w:sz w:val="28"/>
          <w:szCs w:val="28"/>
        </w:rPr>
        <w:t xml:space="preserve">, что порядок и форма </w:t>
      </w:r>
      <w:r w:rsidR="0028007B" w:rsidRPr="0028007B">
        <w:rPr>
          <w:rFonts w:ascii="PT Astra Serif" w:hAnsi="PT Astra Serif" w:cs="Arial"/>
          <w:color w:val="020C22"/>
          <w:sz w:val="28"/>
          <w:szCs w:val="28"/>
        </w:rPr>
        <w:t xml:space="preserve">списка наблюдателей </w:t>
      </w:r>
      <w:r w:rsidRPr="0028007B">
        <w:rPr>
          <w:rFonts w:ascii="PT Astra Serif" w:hAnsi="PT Astra Serif" w:cs="Arial"/>
          <w:color w:val="020C22"/>
          <w:sz w:val="28"/>
          <w:szCs w:val="28"/>
        </w:rPr>
        <w:t xml:space="preserve">на выборах и референдумах всех уровней устанавливаются ЦИК России. </w:t>
      </w:r>
    </w:p>
    <w:p w:rsidR="006A66D1" w:rsidRPr="0028007B" w:rsidRDefault="006A66D1" w:rsidP="006A66D1">
      <w:pPr>
        <w:pStyle w:val="af0"/>
        <w:shd w:val="clear" w:color="auto" w:fill="FEFEFE"/>
        <w:spacing w:before="0" w:beforeAutospacing="0" w:after="0" w:afterAutospacing="0"/>
        <w:ind w:firstLine="709"/>
        <w:jc w:val="both"/>
        <w:rPr>
          <w:rFonts w:ascii="PT Astra Serif" w:hAnsi="PT Astra Serif" w:cs="Arial"/>
          <w:color w:val="020C22"/>
          <w:sz w:val="28"/>
          <w:szCs w:val="28"/>
        </w:rPr>
      </w:pPr>
      <w:r w:rsidRPr="0028007B">
        <w:rPr>
          <w:rFonts w:ascii="PT Astra Serif" w:hAnsi="PT Astra Serif" w:cs="Arial"/>
          <w:color w:val="020C22"/>
          <w:sz w:val="28"/>
          <w:szCs w:val="28"/>
        </w:rPr>
        <w:t>Законопроектом закрепляется возможность составления протоколов избирательных комиссий и</w:t>
      </w:r>
      <w:r w:rsidR="0028007B" w:rsidRPr="0028007B">
        <w:rPr>
          <w:rFonts w:ascii="PT Astra Serif" w:hAnsi="PT Astra Serif" w:cs="Arial"/>
          <w:color w:val="020C22"/>
          <w:sz w:val="28"/>
          <w:szCs w:val="28"/>
        </w:rPr>
        <w:t xml:space="preserve"> </w:t>
      </w:r>
      <w:r w:rsidRPr="0028007B">
        <w:rPr>
          <w:rFonts w:ascii="PT Astra Serif" w:hAnsi="PT Astra Serif" w:cs="Arial"/>
          <w:color w:val="020C22"/>
          <w:sz w:val="28"/>
          <w:szCs w:val="28"/>
        </w:rPr>
        <w:t>сводных таблиц об итогах голосования в электронном виде с сохранением обязательной выдачи их заверенных копий на бумажных носителях</w:t>
      </w:r>
      <w:r w:rsidR="00466D1C" w:rsidRPr="0028007B">
        <w:rPr>
          <w:rFonts w:ascii="PT Astra Serif" w:hAnsi="PT Astra Serif" w:cs="Arial"/>
          <w:color w:val="020C22"/>
          <w:sz w:val="28"/>
          <w:szCs w:val="28"/>
        </w:rPr>
        <w:t>. П</w:t>
      </w:r>
      <w:r w:rsidR="00D120CE" w:rsidRPr="0028007B">
        <w:rPr>
          <w:rFonts w:ascii="PT Astra Serif" w:hAnsi="PT Astra Serif" w:cs="Arial"/>
          <w:color w:val="020C22"/>
          <w:sz w:val="28"/>
          <w:szCs w:val="28"/>
        </w:rPr>
        <w:t>родлевается на один день предельный срок для передачи избирательных бюллетеней участковым комиссиям</w:t>
      </w:r>
      <w:r w:rsidR="00466D1C" w:rsidRPr="0028007B">
        <w:rPr>
          <w:rFonts w:ascii="PT Astra Serif" w:hAnsi="PT Astra Serif" w:cs="Arial"/>
          <w:color w:val="020C22"/>
          <w:sz w:val="28"/>
          <w:szCs w:val="28"/>
        </w:rPr>
        <w:t xml:space="preserve"> и уточняется срок для принятия избирательной комиссией решения о заверении списка кандидатов.</w:t>
      </w:r>
    </w:p>
    <w:p w:rsidR="006A66D1" w:rsidRPr="0028007B" w:rsidRDefault="006A66D1" w:rsidP="006A66D1">
      <w:pPr>
        <w:pStyle w:val="a3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28007B">
        <w:rPr>
          <w:rFonts w:ascii="PT Astra Serif" w:hAnsi="PT Astra Serif"/>
          <w:sz w:val="28"/>
          <w:szCs w:val="28"/>
        </w:rPr>
        <w:t>Ряд изменений носит юридико-технический характер.</w:t>
      </w:r>
    </w:p>
    <w:p w:rsidR="006A66D1" w:rsidRPr="0028007B" w:rsidRDefault="006A66D1" w:rsidP="006A66D1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8007B">
        <w:rPr>
          <w:rFonts w:ascii="PT Astra Serif" w:hAnsi="PT Astra Serif"/>
          <w:sz w:val="28"/>
        </w:rPr>
        <w:t>Принятие законопроекта не потребует выделения дополнительных бюджетных ассигнований краевого бюджета.</w:t>
      </w:r>
    </w:p>
    <w:p w:rsidR="006A66D1" w:rsidRPr="00415496" w:rsidRDefault="006A66D1" w:rsidP="006A66D1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 w:rsidRPr="0028007B">
        <w:rPr>
          <w:rFonts w:ascii="PT Astra Serif" w:hAnsi="PT Astra Serif"/>
          <w:sz w:val="28"/>
        </w:rPr>
        <w:t>Законопроект предлагается принять в двух чтениях</w:t>
      </w:r>
      <w:r w:rsidRPr="00415496">
        <w:rPr>
          <w:rFonts w:ascii="PT Astra Serif" w:hAnsi="PT Astra Serif"/>
          <w:sz w:val="28"/>
        </w:rPr>
        <w:t>.</w:t>
      </w:r>
    </w:p>
    <w:p w:rsidR="00492CFB" w:rsidRDefault="00492CFB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:rsidR="006A66D1" w:rsidRDefault="006A66D1">
      <w:pPr>
        <w:spacing w:after="0" w:line="240" w:lineRule="auto"/>
        <w:jc w:val="both"/>
        <w:rPr>
          <w:rFonts w:ascii="PT Astra Serif" w:hAnsi="PT Astra Serif"/>
          <w:sz w:val="28"/>
        </w:rPr>
      </w:pPr>
    </w:p>
    <w:tbl>
      <w:tblPr>
        <w:tblpPr w:leftFromText="180" w:rightFromText="180" w:vertAnchor="text" w:horzAnchor="margin" w:tblpX="-39" w:tblpY="355"/>
        <w:tblW w:w="10064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394"/>
      </w:tblGrid>
      <w:tr w:rsidR="00492CFB" w:rsidTr="00117537">
        <w:trPr>
          <w:trHeight w:val="426"/>
        </w:trPr>
        <w:tc>
          <w:tcPr>
            <w:tcW w:w="5387" w:type="dxa"/>
          </w:tcPr>
          <w:p w:rsidR="00492CFB" w:rsidRDefault="004E5EBF" w:rsidP="006A66D1">
            <w:pPr>
              <w:spacing w:line="280" w:lineRule="exact"/>
              <w:ind w:left="-108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  <w:p w:rsidR="00BB41B0" w:rsidRDefault="00BB41B0" w:rsidP="006A66D1">
            <w:pPr>
              <w:spacing w:line="280" w:lineRule="exact"/>
              <w:ind w:left="-108"/>
              <w:rPr>
                <w:rFonts w:ascii="PT Astra Serif" w:hAnsi="PT Astra Serif"/>
                <w:sz w:val="28"/>
              </w:rPr>
            </w:pPr>
          </w:p>
        </w:tc>
        <w:tc>
          <w:tcPr>
            <w:tcW w:w="283" w:type="dxa"/>
          </w:tcPr>
          <w:p w:rsidR="00492CFB" w:rsidRDefault="00492CFB">
            <w:pPr>
              <w:spacing w:line="280" w:lineRule="exact"/>
              <w:ind w:right="317"/>
              <w:jc w:val="both"/>
              <w:rPr>
                <w:rFonts w:ascii="PT Astra Serif" w:hAnsi="PT Astra Serif"/>
                <w:sz w:val="28"/>
              </w:rPr>
            </w:pPr>
          </w:p>
        </w:tc>
        <w:tc>
          <w:tcPr>
            <w:tcW w:w="4394" w:type="dxa"/>
          </w:tcPr>
          <w:p w:rsidR="00492CFB" w:rsidRDefault="00117537">
            <w:pPr>
              <w:spacing w:line="280" w:lineRule="exact"/>
              <w:ind w:right="60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Председатель Избирательной комиссии Алтайского края</w:t>
            </w:r>
          </w:p>
        </w:tc>
      </w:tr>
      <w:tr w:rsidR="00492CFB" w:rsidTr="00117537">
        <w:trPr>
          <w:trHeight w:val="426"/>
        </w:trPr>
        <w:tc>
          <w:tcPr>
            <w:tcW w:w="5387" w:type="dxa"/>
          </w:tcPr>
          <w:p w:rsidR="00492CFB" w:rsidRDefault="004E5EBF" w:rsidP="00BB41B0">
            <w:pPr>
              <w:spacing w:line="280" w:lineRule="exact"/>
              <w:ind w:left="-108" w:right="601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Д.А. Голобородько</w:t>
            </w:r>
          </w:p>
        </w:tc>
        <w:tc>
          <w:tcPr>
            <w:tcW w:w="283" w:type="dxa"/>
          </w:tcPr>
          <w:p w:rsidR="00492CFB" w:rsidRDefault="00492CFB">
            <w:pPr>
              <w:spacing w:line="280" w:lineRule="exact"/>
              <w:ind w:left="-108" w:right="317"/>
              <w:jc w:val="right"/>
              <w:rPr>
                <w:rFonts w:ascii="PT Astra Serif" w:hAnsi="PT Astra Serif"/>
                <w:sz w:val="28"/>
              </w:rPr>
            </w:pPr>
          </w:p>
        </w:tc>
        <w:tc>
          <w:tcPr>
            <w:tcW w:w="4394" w:type="dxa"/>
          </w:tcPr>
          <w:p w:rsidR="00492CFB" w:rsidRDefault="004E5EBF" w:rsidP="00117537">
            <w:pPr>
              <w:spacing w:line="280" w:lineRule="exact"/>
              <w:ind w:left="-108" w:right="600"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            </w:t>
            </w:r>
            <w:r w:rsidR="00117537">
              <w:rPr>
                <w:rFonts w:ascii="PT Astra Serif" w:hAnsi="PT Astra Serif"/>
                <w:sz w:val="28"/>
              </w:rPr>
              <w:t>И.Л. Акимова</w:t>
            </w:r>
          </w:p>
        </w:tc>
      </w:tr>
    </w:tbl>
    <w:p w:rsidR="00492CFB" w:rsidRDefault="00492CFB">
      <w:pPr>
        <w:spacing w:after="0" w:line="280" w:lineRule="exact"/>
        <w:jc w:val="both"/>
        <w:rPr>
          <w:rFonts w:ascii="PT Astra Serif" w:hAnsi="PT Astra Serif"/>
          <w:sz w:val="28"/>
        </w:rPr>
      </w:pPr>
    </w:p>
    <w:sectPr w:rsidR="00492CFB" w:rsidSect="00A54694">
      <w:headerReference w:type="default" r:id="rId7"/>
      <w:pgSz w:w="11906" w:h="16838"/>
      <w:pgMar w:top="1134" w:right="850" w:bottom="1134" w:left="1843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0CE" w:rsidRDefault="00D120CE" w:rsidP="0007264F">
      <w:pPr>
        <w:spacing w:after="0" w:line="240" w:lineRule="auto"/>
      </w:pPr>
      <w:r>
        <w:separator/>
      </w:r>
    </w:p>
  </w:endnote>
  <w:endnote w:type="continuationSeparator" w:id="0">
    <w:p w:rsidR="00D120CE" w:rsidRDefault="00D120CE" w:rsidP="00072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0CE" w:rsidRDefault="00D120CE" w:rsidP="0007264F">
      <w:pPr>
        <w:spacing w:after="0" w:line="240" w:lineRule="auto"/>
      </w:pPr>
      <w:r>
        <w:separator/>
      </w:r>
    </w:p>
  </w:footnote>
  <w:footnote w:type="continuationSeparator" w:id="0">
    <w:p w:rsidR="00D120CE" w:rsidRDefault="00D120CE" w:rsidP="00072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5970500"/>
      <w:docPartObj>
        <w:docPartGallery w:val="Page Numbers (Top of Page)"/>
        <w:docPartUnique/>
      </w:docPartObj>
    </w:sdtPr>
    <w:sdtEndPr/>
    <w:sdtContent>
      <w:p w:rsidR="00D120CE" w:rsidRDefault="00D120CE" w:rsidP="00C4744F">
        <w:pPr>
          <w:pStyle w:val="ac"/>
          <w:jc w:val="center"/>
        </w:pPr>
        <w:r w:rsidRPr="0007264F">
          <w:rPr>
            <w:rFonts w:ascii="PT Astra Serif" w:hAnsi="PT Astra Serif"/>
          </w:rPr>
          <w:fldChar w:fldCharType="begin"/>
        </w:r>
        <w:r w:rsidRPr="0007264F">
          <w:rPr>
            <w:rFonts w:ascii="PT Astra Serif" w:hAnsi="PT Astra Serif"/>
          </w:rPr>
          <w:instrText>PAGE   \* MERGEFORMAT</w:instrText>
        </w:r>
        <w:r w:rsidRPr="0007264F">
          <w:rPr>
            <w:rFonts w:ascii="PT Astra Serif" w:hAnsi="PT Astra Serif"/>
          </w:rPr>
          <w:fldChar w:fldCharType="separate"/>
        </w:r>
        <w:r w:rsidR="00FB7695">
          <w:rPr>
            <w:rFonts w:ascii="PT Astra Serif" w:hAnsi="PT Astra Serif"/>
            <w:noProof/>
          </w:rPr>
          <w:t>2</w:t>
        </w:r>
        <w:r w:rsidRPr="0007264F">
          <w:rPr>
            <w:rFonts w:ascii="PT Astra Serif" w:hAnsi="PT Astra Serif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FB"/>
    <w:rsid w:val="0007264F"/>
    <w:rsid w:val="000B108B"/>
    <w:rsid w:val="001034AF"/>
    <w:rsid w:val="00117537"/>
    <w:rsid w:val="00146A33"/>
    <w:rsid w:val="00170061"/>
    <w:rsid w:val="0028007B"/>
    <w:rsid w:val="00296513"/>
    <w:rsid w:val="004074D0"/>
    <w:rsid w:val="00466D1C"/>
    <w:rsid w:val="00492CFB"/>
    <w:rsid w:val="004E5EBF"/>
    <w:rsid w:val="005B579C"/>
    <w:rsid w:val="005E0EDE"/>
    <w:rsid w:val="006561B2"/>
    <w:rsid w:val="006A66D1"/>
    <w:rsid w:val="007F7BE3"/>
    <w:rsid w:val="008242D0"/>
    <w:rsid w:val="00887334"/>
    <w:rsid w:val="008A30BE"/>
    <w:rsid w:val="008B2B71"/>
    <w:rsid w:val="00942EDF"/>
    <w:rsid w:val="00970828"/>
    <w:rsid w:val="009F20D4"/>
    <w:rsid w:val="009F4D5A"/>
    <w:rsid w:val="00A54694"/>
    <w:rsid w:val="00B850A2"/>
    <w:rsid w:val="00BB03A9"/>
    <w:rsid w:val="00BB41B0"/>
    <w:rsid w:val="00C4744F"/>
    <w:rsid w:val="00CA433F"/>
    <w:rsid w:val="00CC6113"/>
    <w:rsid w:val="00D120CE"/>
    <w:rsid w:val="00DE1D24"/>
    <w:rsid w:val="00EB66AC"/>
    <w:rsid w:val="00F1253A"/>
    <w:rsid w:val="00F50CA2"/>
    <w:rsid w:val="00F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09547-CEA3-4C5E-8B98-667AA12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4074D0"/>
  </w:style>
  <w:style w:type="paragraph" w:styleId="10">
    <w:name w:val="heading 1"/>
    <w:next w:val="a"/>
    <w:link w:val="11"/>
    <w:uiPriority w:val="9"/>
    <w:qFormat/>
    <w:rsid w:val="004074D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074D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074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074D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4074D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074D0"/>
  </w:style>
  <w:style w:type="paragraph" w:styleId="21">
    <w:name w:val="toc 2"/>
    <w:next w:val="a"/>
    <w:link w:val="22"/>
    <w:uiPriority w:val="39"/>
    <w:rsid w:val="004074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074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074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074D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4074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074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074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074D0"/>
    <w:rPr>
      <w:rFonts w:ascii="XO Thames" w:hAnsi="XO Thames"/>
      <w:sz w:val="28"/>
    </w:rPr>
  </w:style>
  <w:style w:type="paragraph" w:customStyle="1" w:styleId="Endnote">
    <w:name w:val="Endnote"/>
    <w:link w:val="Endnote0"/>
    <w:rsid w:val="004074D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074D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074D0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rsid w:val="004074D0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uiPriority w:val="34"/>
    <w:rsid w:val="004074D0"/>
    <w:rPr>
      <w:rFonts w:ascii="Calibri" w:hAnsi="Calibri"/>
    </w:rPr>
  </w:style>
  <w:style w:type="paragraph" w:styleId="31">
    <w:name w:val="toc 3"/>
    <w:next w:val="a"/>
    <w:link w:val="32"/>
    <w:uiPriority w:val="39"/>
    <w:rsid w:val="004074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074D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074D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074D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4074D0"/>
    <w:rPr>
      <w:color w:val="0000FF"/>
      <w:u w:val="single"/>
    </w:rPr>
  </w:style>
  <w:style w:type="character" w:styleId="a5">
    <w:name w:val="Hyperlink"/>
    <w:link w:val="12"/>
    <w:rsid w:val="004074D0"/>
    <w:rPr>
      <w:color w:val="0000FF"/>
      <w:u w:val="single"/>
    </w:rPr>
  </w:style>
  <w:style w:type="paragraph" w:customStyle="1" w:styleId="Footnote">
    <w:name w:val="Footnote"/>
    <w:link w:val="Footnote0"/>
    <w:rsid w:val="004074D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074D0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4074D0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4074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074D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4074D0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4074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074D0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074D0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4074D0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4074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074D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074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074D0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4074D0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074D0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074D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074D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4074D0"/>
    <w:rPr>
      <w:rFonts w:ascii="XO Thames" w:hAnsi="XO Thames"/>
      <w:b/>
      <w:sz w:val="24"/>
    </w:rPr>
  </w:style>
  <w:style w:type="paragraph" w:customStyle="1" w:styleId="15">
    <w:name w:val="Основной шрифт абзаца1"/>
    <w:rsid w:val="004074D0"/>
  </w:style>
  <w:style w:type="character" w:customStyle="1" w:styleId="20">
    <w:name w:val="Заголовок 2 Знак"/>
    <w:link w:val="2"/>
    <w:rsid w:val="004074D0"/>
    <w:rPr>
      <w:rFonts w:ascii="XO Thames" w:hAnsi="XO Thames"/>
      <w:b/>
      <w:sz w:val="28"/>
    </w:rPr>
  </w:style>
  <w:style w:type="paragraph" w:styleId="ac">
    <w:name w:val="header"/>
    <w:basedOn w:val="a"/>
    <w:link w:val="ad"/>
    <w:uiPriority w:val="99"/>
    <w:unhideWhenUsed/>
    <w:rsid w:val="0007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7264F"/>
  </w:style>
  <w:style w:type="paragraph" w:styleId="ae">
    <w:name w:val="footer"/>
    <w:basedOn w:val="a"/>
    <w:link w:val="af"/>
    <w:uiPriority w:val="99"/>
    <w:unhideWhenUsed/>
    <w:rsid w:val="00072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7264F"/>
  </w:style>
  <w:style w:type="paragraph" w:styleId="af0">
    <w:name w:val="Normal (Web)"/>
    <w:basedOn w:val="a"/>
    <w:uiPriority w:val="99"/>
    <w:unhideWhenUsed/>
    <w:rsid w:val="006A66D1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5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5627-C0D2-4E84-B637-20D506E1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Вячеславовна Балашова</dc:creator>
  <cp:lastModifiedBy>Елена Анатольевна Коргун</cp:lastModifiedBy>
  <cp:revision>2</cp:revision>
  <cp:lastPrinted>2026-05-08T02:54:00Z</cp:lastPrinted>
  <dcterms:created xsi:type="dcterms:W3CDTF">2026-05-14T03:46:00Z</dcterms:created>
  <dcterms:modified xsi:type="dcterms:W3CDTF">2026-05-14T03:46:00Z</dcterms:modified>
</cp:coreProperties>
</file>